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郑州高新区科技创新专业服务券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服务机构角色申请入库操作指南</w:t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（一）注册登录</w:t>
      </w:r>
    </w:p>
    <w:p>
      <w:pPr>
        <w:spacing w:line="560" w:lineRule="exact"/>
        <w:ind w:firstLine="552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2"/>
          <w:sz w:val="32"/>
          <w:szCs w:val="32"/>
        </w:rPr>
        <w:t>服务机构登录（http://qygj.zzgx.gov.cn/）高新区企业管家平台，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进行账号注册。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类型选择“服务机构”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（如果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既是服务机构又是申劵企业，需要同时注册两个角色的账号，功能不一样，不能混用）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·登录密码如果忘记，暂不支持邮箱或者手机号找回，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服务机构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可向创新协同中心申请重置密码。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88900</wp:posOffset>
            </wp:positionV>
            <wp:extent cx="5270500" cy="4269105"/>
            <wp:effectExtent l="0" t="0" r="6350" b="171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（二）申请入库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注册登录后，</w:t>
      </w:r>
      <w:r>
        <w:rPr>
          <w:rFonts w:hint="eastAsia" w:ascii="仿宋" w:hAnsi="仿宋" w:cs="仿宋"/>
          <w:color w:val="000000"/>
          <w:kern w:val="0"/>
          <w:sz w:val="31"/>
          <w:szCs w:val="31"/>
          <w:lang w:val="en-US" w:eastAsia="zh-CN" w:bidi="ar"/>
        </w:rPr>
        <w:t>在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“会员中心”</w:t>
      </w:r>
      <w:r>
        <w:rPr>
          <w:rFonts w:hint="eastAsia" w:ascii="仿宋" w:hAnsi="仿宋" w:cs="仿宋"/>
          <w:color w:val="000000"/>
          <w:kern w:val="0"/>
          <w:sz w:val="31"/>
          <w:szCs w:val="31"/>
          <w:lang w:val="en-US" w:eastAsia="zh-CN" w:bidi="ar"/>
        </w:rPr>
        <w:t>提交申请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" w:hAnsi="仿宋" w:cs="仿宋"/>
          <w:color w:val="000000"/>
          <w:kern w:val="0"/>
          <w:sz w:val="31"/>
          <w:szCs w:val="31"/>
          <w:lang w:val="en-US" w:eastAsia="zh-CN" w:bidi="ar"/>
        </w:rPr>
        <w:t>选择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" w:hAnsi="仿宋" w:cs="仿宋"/>
          <w:color w:val="000000"/>
          <w:kern w:val="0"/>
          <w:sz w:val="31"/>
          <w:szCs w:val="31"/>
          <w:lang w:val="en-US" w:eastAsia="zh-CN" w:bidi="ar"/>
        </w:rPr>
        <w:t>入库申请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（必填）”</w:t>
      </w:r>
      <w:r>
        <w:rPr>
          <w:rFonts w:hint="eastAsia" w:ascii="仿宋" w:hAnsi="仿宋" w:cs="仿宋"/>
          <w:color w:val="000000"/>
          <w:kern w:val="0"/>
          <w:sz w:val="31"/>
          <w:szCs w:val="31"/>
          <w:lang w:val="en-US" w:eastAsia="zh-CN" w:bidi="ar"/>
        </w:rPr>
        <w:t>，点击“填写认证资料”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按照提示内容上传资料，点击“提交”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，等待审核。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34290</wp:posOffset>
            </wp:positionV>
            <wp:extent cx="3848100" cy="3982720"/>
            <wp:effectExtent l="0" t="0" r="0" b="177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935355</wp:posOffset>
            </wp:positionV>
            <wp:extent cx="5271770" cy="3313430"/>
            <wp:effectExtent l="0" t="0" r="5080" b="127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服务机构类别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选择要与“入库申请书”保持一致；“注册地址”与“营业执照”保持一致；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注意：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上图“地图位置”栏，须点击空白处，将地图中位置图标拖动到</w:t>
      </w:r>
      <w:r>
        <w:rPr>
          <w:rFonts w:hint="eastAsia" w:ascii="仿宋" w:hAnsi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服务机构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实际位置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，然后点击右下角“确定”。（此处容易被错误操作，请务必核实是否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正确位置）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“资质信息”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、“资质证明照片”、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“执业证书照片”、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“其他证明照片”、“行业排名照片”、“业绩开展照片”、“合同协议附件”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可以填“无”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“业务信息”、“财务信息”填写2019年业务、财务经营状况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取得的成效等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内容。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”中各类照片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支持jpg/png格式，大小不超过2Mb,“合同协议附件”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支持pdf格式，大小不超过5Mb。</w:t>
      </w:r>
    </w:p>
    <w:p>
      <w:pPr>
        <w:rPr>
          <w:rFonts w:hint="eastAsia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132080</wp:posOffset>
            </wp:positionV>
            <wp:extent cx="5273040" cy="3481705"/>
            <wp:effectExtent l="0" t="0" r="3810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注意：</w:t>
      </w:r>
      <w:r>
        <w:rPr>
          <w:rFonts w:hint="eastAsia"/>
          <w:lang w:val="en-US" w:eastAsia="zh-CN"/>
        </w:rPr>
        <w:t>提交成功的服务机构状态为“审核中”；如发现有错误，服务机构可点击“修改认证资料”，变更信息后提交，等待被审核。</w:t>
      </w:r>
    </w:p>
    <w:p>
      <w:pP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66675</wp:posOffset>
            </wp:positionV>
            <wp:extent cx="5271135" cy="2927985"/>
            <wp:effectExtent l="0" t="0" r="5715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（三）审核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由创新协同中心对服务机构在线提交的材料进行初步审核。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通过初审后，账号状态显示为“通过初审”；若未通过，则账号状态显示为“审核拒绝”，服务机构可进行修改，补充完善入库资料；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初审后，报高新区科技创新专业服务券管理工作领导小组终审；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终审后，在郑州高新区企业管家平台（http://qygj.zzgx.gov.cn/）及郑州国家高新技术产业开发区网（http://www.zzgx.gov.cn/）进行公示，公示期3天；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公示无异议的，正式入驻郑州高新区科技创新专业服务券服务机构名录库。</w:t>
      </w:r>
      <w:bookmarkStart w:id="0" w:name="_GoBack"/>
      <w:bookmarkEnd w:id="0"/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（四）发布产品信息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已入驻的服务机构，即可登录平台发布服务产品。</w:t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注意事项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务券不予支持的专业服务范围包括：室内外装修类服务、基础建设、基建设备购买及租赁类服务、产品及设备购买、工程造价咨询、仓储类服务、市政基础建设及检测类服务、车辆租赁、交通运输类服务、建筑劳务类服务、学生教育及考试培训类服务、养殖类服务、餐饮及娱乐类服务、消费品购买及租赁类服务、医疗服务、商业验货、大批量验货、法定认定、执法检查、强制检测、商业性技术检测等与企业创新发展无关的服务。</w:t>
      </w:r>
    </w:p>
    <w:p>
      <w:pPr>
        <w:spacing w:line="56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服务机构承诺提供的服务项目，不应超过营业执照登记的经营范围。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1501"/>
    <w:rsid w:val="164C3470"/>
    <w:rsid w:val="19937C29"/>
    <w:rsid w:val="245E5379"/>
    <w:rsid w:val="27E56FD9"/>
    <w:rsid w:val="370B152B"/>
    <w:rsid w:val="37B90A92"/>
    <w:rsid w:val="3B4206F3"/>
    <w:rsid w:val="3F78665E"/>
    <w:rsid w:val="406D4713"/>
    <w:rsid w:val="40E36A09"/>
    <w:rsid w:val="48A329B2"/>
    <w:rsid w:val="604006BA"/>
    <w:rsid w:val="67F93231"/>
    <w:rsid w:val="67FA2ED3"/>
    <w:rsid w:val="7D3C237B"/>
    <w:rsid w:val="7EB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2019-10-22T10:47:00Z</dcterms:created>
  <dc:creator>Administrator</dc:creator>
  <cp:lastModifiedBy>赵志斌</cp:lastModifiedBy>
  <cp:lastPrinted>2020-01-16T07:03:14Z</cp:lastPrinted>
  <dcterms:modified xsi:type="dcterms:W3CDTF">2020-01-16T07:28:29Z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