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黑体" w:hAnsi="黑体" w:eastAsia="黑体" w:cs="黑体"/>
          <w:color w:val="auto"/>
          <w:sz w:val="32"/>
          <w:szCs w:val="32"/>
          <w:lang w:eastAsia="zh-CN"/>
        </w:rPr>
      </w:pP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5</w:t>
      </w:r>
    </w:p>
    <w:p>
      <w:pPr>
        <w:spacing w:line="560" w:lineRule="exact"/>
        <w:jc w:val="center"/>
        <w:rPr>
          <w:rFonts w:ascii="宋体" w:hAnsi="宋体" w:cs="宋体"/>
          <w:b/>
          <w:bCs/>
          <w:color w:val="auto"/>
          <w:sz w:val="44"/>
          <w:szCs w:val="44"/>
        </w:rPr>
      </w:pPr>
      <w:r>
        <w:rPr>
          <w:rFonts w:hint="eastAsia" w:ascii="宋体" w:hAnsi="宋体" w:cs="宋体"/>
          <w:b/>
          <w:bCs/>
          <w:color w:val="auto"/>
          <w:sz w:val="44"/>
          <w:szCs w:val="44"/>
        </w:rPr>
        <w:t>国家统计局关于印发《统计上大中小微型</w:t>
      </w:r>
    </w:p>
    <w:p>
      <w:pPr>
        <w:spacing w:line="560" w:lineRule="exact"/>
        <w:jc w:val="center"/>
        <w:rPr>
          <w:rFonts w:ascii="宋体" w:hAnsi="宋体" w:cs="宋体"/>
          <w:b/>
          <w:bCs/>
          <w:color w:val="auto"/>
          <w:sz w:val="44"/>
          <w:szCs w:val="44"/>
        </w:rPr>
      </w:pPr>
      <w:r>
        <w:rPr>
          <w:rFonts w:hint="eastAsia" w:ascii="宋体" w:hAnsi="宋体" w:cs="宋体"/>
          <w:b/>
          <w:bCs/>
          <w:color w:val="auto"/>
          <w:sz w:val="44"/>
          <w:szCs w:val="44"/>
        </w:rPr>
        <w:t>企业划分办法（2017）》的通知</w:t>
      </w:r>
    </w:p>
    <w:p>
      <w:pPr>
        <w:spacing w:line="560" w:lineRule="exact"/>
        <w:jc w:val="center"/>
        <w:rPr>
          <w:rFonts w:ascii="仿宋" w:hAnsi="仿宋" w:eastAsia="仿宋" w:cs="仿宋"/>
          <w:color w:val="auto"/>
          <w:sz w:val="32"/>
          <w:szCs w:val="32"/>
        </w:rPr>
      </w:pPr>
    </w:p>
    <w:p>
      <w:pPr>
        <w:spacing w:line="560" w:lineRule="exact"/>
        <w:jc w:val="center"/>
        <w:rPr>
          <w:rFonts w:ascii="楷体" w:hAnsi="楷体" w:eastAsia="楷体" w:cs="楷体"/>
          <w:color w:val="auto"/>
          <w:sz w:val="32"/>
          <w:szCs w:val="32"/>
        </w:rPr>
      </w:pPr>
      <w:r>
        <w:rPr>
          <w:rFonts w:hint="eastAsia" w:ascii="楷体" w:hAnsi="楷体" w:eastAsia="楷体" w:cs="楷体"/>
          <w:color w:val="auto"/>
          <w:sz w:val="32"/>
          <w:szCs w:val="32"/>
        </w:rPr>
        <w:t>国统字〔2017〕213号</w:t>
      </w:r>
    </w:p>
    <w:p>
      <w:pPr>
        <w:spacing w:line="560" w:lineRule="exact"/>
        <w:rPr>
          <w:rFonts w:hint="eastAsia" w:ascii="仿宋" w:hAnsi="仿宋" w:eastAsia="仿宋" w:cs="仿宋"/>
          <w:color w:val="auto"/>
          <w:sz w:val="32"/>
          <w:szCs w:val="32"/>
        </w:rPr>
      </w:pPr>
    </w:p>
    <w:p>
      <w:pPr>
        <w:spacing w:line="560" w:lineRule="exact"/>
        <w:rPr>
          <w:rFonts w:ascii="仿宋" w:hAnsi="仿宋" w:eastAsia="仿宋" w:cs="仿宋"/>
          <w:color w:val="auto"/>
          <w:sz w:val="32"/>
          <w:szCs w:val="32"/>
        </w:rPr>
      </w:pPr>
      <w:r>
        <w:rPr>
          <w:rFonts w:hint="eastAsia" w:ascii="仿宋" w:hAnsi="仿宋" w:eastAsia="仿宋" w:cs="仿宋"/>
          <w:color w:val="auto"/>
          <w:sz w:val="32"/>
          <w:szCs w:val="32"/>
        </w:rPr>
        <w:t>各省、自治区、直辖市统计局，</w:t>
      </w:r>
      <w:bookmarkStart w:id="0" w:name="_GoBack"/>
      <w:bookmarkEnd w:id="0"/>
      <w:r>
        <w:rPr>
          <w:rFonts w:hint="eastAsia" w:ascii="仿宋" w:hAnsi="仿宋" w:eastAsia="仿宋" w:cs="仿宋"/>
          <w:color w:val="auto"/>
          <w:sz w:val="32"/>
          <w:szCs w:val="32"/>
        </w:rPr>
        <w:t>新疆生产建设兵团统计局，国务院各有关部门，国家统计局各调查总队：</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《国民经济行业分类》（GB/T 4754—2017）已正式实施，现对2011年制定的《统计上大中小微型企业划分办法》进行修订。本次修订保持原有的分类原则、方法、结构框架和适用范围，仅将所涉及的行业按照《国民经济行业分类》（GB/T 4754—2011）和《国民经济行业分类》（GB/T 4754—2017）的对应关系，进行相应调整，形成《统计上大中小微型企业划分办法（2017）》。现将《统计上大中小微型企业划分办法（2017）》印发给你们，请在统计工作中认真贯彻执行。</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附件：《统计上大中小微型企业划分办法（2017）》修订说明</w:t>
      </w:r>
    </w:p>
    <w:p>
      <w:pPr>
        <w:spacing w:line="560" w:lineRule="exact"/>
        <w:ind w:firstLine="640" w:firstLineChars="200"/>
        <w:rPr>
          <w:rFonts w:ascii="仿宋" w:hAnsi="仿宋" w:eastAsia="仿宋" w:cs="仿宋"/>
          <w:color w:val="auto"/>
          <w:sz w:val="32"/>
          <w:szCs w:val="32"/>
        </w:rPr>
      </w:pPr>
    </w:p>
    <w:p>
      <w:pPr>
        <w:spacing w:line="560" w:lineRule="exact"/>
        <w:ind w:firstLine="6080" w:firstLineChars="1900"/>
        <w:rPr>
          <w:rFonts w:ascii="仿宋" w:hAnsi="仿宋" w:eastAsia="仿宋" w:cs="仿宋"/>
          <w:color w:val="auto"/>
          <w:sz w:val="32"/>
          <w:szCs w:val="32"/>
        </w:rPr>
      </w:pPr>
      <w:r>
        <w:rPr>
          <w:rFonts w:hint="eastAsia" w:ascii="仿宋" w:hAnsi="仿宋" w:eastAsia="仿宋" w:cs="仿宋"/>
          <w:color w:val="auto"/>
          <w:sz w:val="32"/>
          <w:szCs w:val="32"/>
        </w:rPr>
        <w:t xml:space="preserve">国家统计局   </w:t>
      </w:r>
    </w:p>
    <w:p>
      <w:pPr>
        <w:spacing w:line="560" w:lineRule="exact"/>
        <w:ind w:firstLine="5440" w:firstLineChars="1700"/>
        <w:rPr>
          <w:rFonts w:ascii="仿宋" w:hAnsi="仿宋" w:eastAsia="仿宋" w:cs="仿宋"/>
          <w:color w:val="auto"/>
          <w:sz w:val="32"/>
          <w:szCs w:val="32"/>
        </w:rPr>
      </w:pPr>
      <w:r>
        <w:rPr>
          <w:rFonts w:hint="eastAsia" w:ascii="仿宋" w:hAnsi="仿宋" w:eastAsia="仿宋" w:cs="仿宋"/>
          <w:color w:val="auto"/>
          <w:sz w:val="32"/>
          <w:szCs w:val="32"/>
        </w:rPr>
        <w:t>2017年12月28日</w:t>
      </w:r>
    </w:p>
    <w:p>
      <w:pPr>
        <w:spacing w:line="560" w:lineRule="exact"/>
        <w:ind w:firstLine="640" w:firstLineChars="200"/>
        <w:rPr>
          <w:rFonts w:ascii="仿宋" w:hAnsi="仿宋" w:eastAsia="仿宋" w:cs="仿宋"/>
          <w:color w:val="auto"/>
          <w:sz w:val="32"/>
          <w:szCs w:val="32"/>
        </w:rPr>
      </w:pPr>
    </w:p>
    <w:p>
      <w:pPr>
        <w:spacing w:line="560" w:lineRule="exact"/>
        <w:rPr>
          <w:rFonts w:ascii="仿宋" w:hAnsi="仿宋" w:eastAsia="仿宋" w:cs="仿宋"/>
          <w:color w:val="auto"/>
          <w:sz w:val="32"/>
          <w:szCs w:val="32"/>
        </w:rPr>
      </w:pPr>
    </w:p>
    <w:p>
      <w:pPr>
        <w:spacing w:line="560" w:lineRule="exact"/>
        <w:rPr>
          <w:rFonts w:ascii="仿宋" w:hAnsi="仿宋" w:eastAsia="仿宋" w:cs="仿宋"/>
          <w:color w:val="auto"/>
          <w:sz w:val="32"/>
          <w:szCs w:val="32"/>
        </w:rPr>
      </w:pPr>
    </w:p>
    <w:p>
      <w:pPr>
        <w:spacing w:line="560" w:lineRule="exact"/>
        <w:rPr>
          <w:rFonts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宋体" w:hAnsi="宋体" w:cs="宋体"/>
          <w:color w:val="auto"/>
          <w:sz w:val="44"/>
          <w:szCs w:val="44"/>
        </w:rPr>
      </w:pPr>
      <w:r>
        <w:rPr>
          <w:rFonts w:hint="eastAsia" w:ascii="宋体" w:hAnsi="宋体" w:cs="宋体"/>
          <w:color w:val="auto"/>
          <w:sz w:val="44"/>
          <w:szCs w:val="44"/>
        </w:rPr>
        <w:t>统计上大中小微型企业划分办法（2017）</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一、根据工业和信息化部、国家统计局、国家发展改革委、财政部《关于印发中小企业划型标准规定的通知》（工信部联企业〔2011〕300号），以《国民经济行业分类》（GB/T4754-2017）为基础，结合统计工作的实际情况，制定本办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二、本办法适用对象为在中华人民共和国境内依法设立的各种组织形式的法人企业或单位。个体工商户参照本办法进行划分。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15个行业门类以及社会工作行业大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四、本办法按照行业门类、大类、中类和组合类别，依据从业人员、营业收入、资产总额等指标或替代指标，将我国的企业划分为大型、中型、小型、微型等四种类型。具体划分标准见附表。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五、企业划分由政府综合统计部门根据统计年报每年确定一次，定报统计原则上不进行调整。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宋体"/>
          <w:color w:val="auto"/>
          <w:kern w:val="0"/>
          <w:sz w:val="32"/>
          <w:szCs w:val="32"/>
        </w:rPr>
      </w:pPr>
      <w:r>
        <w:rPr>
          <w:rFonts w:hint="eastAsia" w:ascii="仿宋" w:hAnsi="仿宋" w:eastAsia="仿宋" w:cs="仿宋"/>
          <w:color w:val="auto"/>
          <w:sz w:val="32"/>
          <w:szCs w:val="32"/>
        </w:rPr>
        <w:t>六、本办法自印发之日起执行，国家统计局2011年印发的《统计上大中小微型企业划分办法》（国统字〔2011〕75号）同时废止。</w:t>
      </w:r>
    </w:p>
    <w:p>
      <w:pPr>
        <w:widowControl/>
        <w:spacing w:line="600" w:lineRule="exact"/>
        <w:jc w:val="left"/>
        <w:rPr>
          <w:rFonts w:hint="eastAsia" w:ascii="黑体" w:hAnsi="黑体" w:eastAsia="黑体" w:cs="宋体"/>
          <w:color w:val="auto"/>
          <w:kern w:val="0"/>
          <w:sz w:val="32"/>
          <w:szCs w:val="32"/>
        </w:rPr>
      </w:pPr>
    </w:p>
    <w:p>
      <w:pPr>
        <w:widowControl/>
        <w:spacing w:line="600" w:lineRule="exact"/>
        <w:jc w:val="left"/>
        <w:rPr>
          <w:rFonts w:ascii="黑体" w:hAnsi="黑体" w:eastAsia="黑体" w:cs="宋体"/>
          <w:color w:val="auto"/>
          <w:kern w:val="0"/>
          <w:sz w:val="32"/>
          <w:szCs w:val="32"/>
        </w:rPr>
      </w:pPr>
      <w:r>
        <w:rPr>
          <w:rFonts w:hint="eastAsia" w:ascii="黑体" w:hAnsi="黑体" w:eastAsia="黑体" w:cs="宋体"/>
          <w:color w:val="auto"/>
          <w:kern w:val="0"/>
          <w:sz w:val="32"/>
          <w:szCs w:val="32"/>
        </w:rPr>
        <w:t>附表</w:t>
      </w:r>
    </w:p>
    <w:p>
      <w:pPr>
        <w:widowControl/>
        <w:spacing w:line="330" w:lineRule="atLeast"/>
        <w:jc w:val="center"/>
        <w:rPr>
          <w:rFonts w:ascii="方正小标宋_GBK" w:hAnsi="宋体" w:eastAsia="方正小标宋_GBK" w:cs="宋体"/>
          <w:color w:val="auto"/>
          <w:kern w:val="0"/>
          <w:sz w:val="36"/>
          <w:szCs w:val="32"/>
        </w:rPr>
      </w:pPr>
      <w:r>
        <w:rPr>
          <w:rFonts w:hint="eastAsia" w:ascii="方正小标宋_GBK" w:hAnsi="宋体" w:eastAsia="方正小标宋_GBK" w:cs="宋体"/>
          <w:color w:val="auto"/>
          <w:kern w:val="0"/>
          <w:sz w:val="36"/>
          <w:szCs w:val="32"/>
        </w:rPr>
        <w:t>统计上大中小微型企业划分标准</w:t>
      </w:r>
    </w:p>
    <w:tbl>
      <w:tblPr>
        <w:tblStyle w:val="2"/>
        <w:tblW w:w="94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3"/>
        <w:gridCol w:w="1369"/>
        <w:gridCol w:w="709"/>
        <w:gridCol w:w="1125"/>
        <w:gridCol w:w="1701"/>
        <w:gridCol w:w="1426"/>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exact"/>
          <w:jc w:val="center"/>
        </w:trPr>
        <w:tc>
          <w:tcPr>
            <w:tcW w:w="2113" w:type="dxa"/>
            <w:noWrap w:val="0"/>
            <w:vAlign w:val="center"/>
          </w:tcPr>
          <w:p>
            <w:pPr>
              <w:widowControl/>
              <w:spacing w:line="240" w:lineRule="exact"/>
              <w:jc w:val="center"/>
              <w:rPr>
                <w:rFonts w:ascii="宋体" w:hAnsi="宋体" w:cs="宋体"/>
                <w:b/>
                <w:bCs/>
                <w:color w:val="auto"/>
                <w:kern w:val="0"/>
                <w:sz w:val="18"/>
                <w:szCs w:val="21"/>
              </w:rPr>
            </w:pPr>
            <w:r>
              <w:rPr>
                <w:rFonts w:hint="eastAsia" w:ascii="宋体" w:hAnsi="宋体" w:cs="宋体"/>
                <w:b/>
                <w:bCs/>
                <w:color w:val="auto"/>
                <w:kern w:val="0"/>
                <w:sz w:val="18"/>
                <w:szCs w:val="21"/>
              </w:rPr>
              <w:t>行业名称</w:t>
            </w:r>
          </w:p>
        </w:tc>
        <w:tc>
          <w:tcPr>
            <w:tcW w:w="1369" w:type="dxa"/>
            <w:noWrap w:val="0"/>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指标名称</w:t>
            </w:r>
          </w:p>
        </w:tc>
        <w:tc>
          <w:tcPr>
            <w:tcW w:w="709" w:type="dxa"/>
            <w:noWrap w:val="0"/>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计量</w:t>
            </w:r>
            <w:r>
              <w:rPr>
                <w:rFonts w:hint="eastAsia" w:ascii="宋体" w:hAnsi="宋体" w:cs="宋体"/>
                <w:b/>
                <w:bCs/>
                <w:color w:val="auto"/>
                <w:kern w:val="0"/>
                <w:sz w:val="18"/>
                <w:szCs w:val="18"/>
              </w:rPr>
              <w:br w:type="textWrapping"/>
            </w:r>
            <w:r>
              <w:rPr>
                <w:rFonts w:hint="eastAsia" w:ascii="宋体" w:hAnsi="宋体" w:cs="宋体"/>
                <w:b/>
                <w:bCs/>
                <w:color w:val="auto"/>
                <w:kern w:val="0"/>
                <w:sz w:val="18"/>
                <w:szCs w:val="18"/>
              </w:rPr>
              <w:t>单位</w:t>
            </w:r>
          </w:p>
        </w:tc>
        <w:tc>
          <w:tcPr>
            <w:tcW w:w="1125" w:type="dxa"/>
            <w:noWrap w:val="0"/>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大型</w:t>
            </w:r>
          </w:p>
        </w:tc>
        <w:tc>
          <w:tcPr>
            <w:tcW w:w="1701" w:type="dxa"/>
            <w:noWrap w:val="0"/>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中型</w:t>
            </w:r>
          </w:p>
        </w:tc>
        <w:tc>
          <w:tcPr>
            <w:tcW w:w="1426" w:type="dxa"/>
            <w:noWrap w:val="0"/>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小型</w:t>
            </w:r>
          </w:p>
        </w:tc>
        <w:tc>
          <w:tcPr>
            <w:tcW w:w="992" w:type="dxa"/>
            <w:noWrap w:val="0"/>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noWrap w:val="0"/>
            <w:vAlign w:val="center"/>
          </w:tcPr>
          <w:p>
            <w:pPr>
              <w:widowControl/>
              <w:spacing w:line="240" w:lineRule="exact"/>
              <w:jc w:val="left"/>
              <w:rPr>
                <w:rFonts w:ascii="宋体" w:hAnsi="宋体" w:cs="宋体"/>
                <w:color w:val="auto"/>
                <w:kern w:val="0"/>
                <w:sz w:val="18"/>
                <w:szCs w:val="18"/>
              </w:rPr>
            </w:pPr>
            <w:r>
              <w:rPr>
                <w:rFonts w:hint="eastAsia" w:ascii="宋体" w:hAnsi="宋体" w:cs="宋体"/>
                <w:color w:val="auto"/>
                <w:kern w:val="0"/>
                <w:sz w:val="18"/>
                <w:szCs w:val="18"/>
              </w:rPr>
              <w:t>农、林、牧、渔业</w:t>
            </w:r>
          </w:p>
        </w:tc>
        <w:tc>
          <w:tcPr>
            <w:tcW w:w="1369"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709"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5"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Y≥20000</w:t>
            </w:r>
          </w:p>
        </w:tc>
        <w:tc>
          <w:tcPr>
            <w:tcW w:w="1701"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xml:space="preserve"> 500≤Y＜20000</w:t>
            </w:r>
          </w:p>
        </w:tc>
        <w:tc>
          <w:tcPr>
            <w:tcW w:w="1426"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xml:space="preserve"> 50≤Y＜500</w:t>
            </w:r>
          </w:p>
        </w:tc>
        <w:tc>
          <w:tcPr>
            <w:tcW w:w="992"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noWrap w:val="0"/>
            <w:vAlign w:val="center"/>
          </w:tcPr>
          <w:p>
            <w:pPr>
              <w:widowControl/>
              <w:spacing w:line="240" w:lineRule="exact"/>
              <w:jc w:val="left"/>
              <w:rPr>
                <w:rFonts w:ascii="宋体" w:hAnsi="宋体" w:cs="宋体"/>
                <w:color w:val="auto"/>
                <w:kern w:val="0"/>
                <w:sz w:val="18"/>
                <w:szCs w:val="18"/>
              </w:rPr>
            </w:pPr>
            <w:r>
              <w:rPr>
                <w:rFonts w:hint="eastAsia" w:ascii="宋体" w:hAnsi="宋体" w:cs="宋体"/>
                <w:color w:val="auto"/>
                <w:kern w:val="0"/>
                <w:sz w:val="18"/>
                <w:szCs w:val="18"/>
              </w:rPr>
              <w:t>工业 *</w:t>
            </w:r>
          </w:p>
        </w:tc>
        <w:tc>
          <w:tcPr>
            <w:tcW w:w="1369"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709"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1125"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X≥1000</w:t>
            </w:r>
          </w:p>
        </w:tc>
        <w:tc>
          <w:tcPr>
            <w:tcW w:w="1701"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300≤X＜1000</w:t>
            </w:r>
          </w:p>
        </w:tc>
        <w:tc>
          <w:tcPr>
            <w:tcW w:w="1426"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xml:space="preserve"> 20≤X＜300</w:t>
            </w:r>
          </w:p>
        </w:tc>
        <w:tc>
          <w:tcPr>
            <w:tcW w:w="992"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noWrap w:val="0"/>
            <w:vAlign w:val="center"/>
          </w:tcPr>
          <w:p>
            <w:pPr>
              <w:widowControl/>
              <w:jc w:val="left"/>
              <w:rPr>
                <w:rFonts w:ascii="宋体" w:hAnsi="宋体" w:cs="宋体"/>
                <w:color w:val="auto"/>
                <w:kern w:val="0"/>
                <w:sz w:val="18"/>
                <w:szCs w:val="18"/>
              </w:rPr>
            </w:pPr>
          </w:p>
        </w:tc>
        <w:tc>
          <w:tcPr>
            <w:tcW w:w="1369" w:type="dxa"/>
            <w:noWrap w:val="0"/>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709"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5"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Y≥40000</w:t>
            </w:r>
          </w:p>
        </w:tc>
        <w:tc>
          <w:tcPr>
            <w:tcW w:w="1701"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2000≤Y＜40000</w:t>
            </w:r>
          </w:p>
        </w:tc>
        <w:tc>
          <w:tcPr>
            <w:tcW w:w="1426"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xml:space="preserve"> 300≤Y＜2000</w:t>
            </w:r>
          </w:p>
        </w:tc>
        <w:tc>
          <w:tcPr>
            <w:tcW w:w="992"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noWrap w:val="0"/>
            <w:vAlign w:val="center"/>
          </w:tcPr>
          <w:p>
            <w:pPr>
              <w:widowControl/>
              <w:spacing w:line="240" w:lineRule="exact"/>
              <w:jc w:val="left"/>
              <w:rPr>
                <w:rFonts w:ascii="宋体" w:hAnsi="宋体" w:cs="宋体"/>
                <w:color w:val="auto"/>
                <w:kern w:val="0"/>
                <w:sz w:val="18"/>
                <w:szCs w:val="18"/>
              </w:rPr>
            </w:pPr>
            <w:r>
              <w:rPr>
                <w:rFonts w:hint="eastAsia" w:ascii="宋体" w:hAnsi="宋体" w:cs="宋体"/>
                <w:color w:val="auto"/>
                <w:kern w:val="0"/>
                <w:sz w:val="18"/>
                <w:szCs w:val="18"/>
              </w:rPr>
              <w:t>建筑业</w:t>
            </w:r>
          </w:p>
        </w:tc>
        <w:tc>
          <w:tcPr>
            <w:tcW w:w="1369"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709"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5"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Y≥80000</w:t>
            </w:r>
          </w:p>
        </w:tc>
        <w:tc>
          <w:tcPr>
            <w:tcW w:w="1701"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6000≤Y＜80000</w:t>
            </w:r>
          </w:p>
        </w:tc>
        <w:tc>
          <w:tcPr>
            <w:tcW w:w="1426"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xml:space="preserve"> 300≤Y＜6000</w:t>
            </w:r>
          </w:p>
        </w:tc>
        <w:tc>
          <w:tcPr>
            <w:tcW w:w="992"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noWrap w:val="0"/>
            <w:vAlign w:val="center"/>
          </w:tcPr>
          <w:p>
            <w:pPr>
              <w:widowControl/>
              <w:jc w:val="left"/>
              <w:rPr>
                <w:rFonts w:ascii="宋体" w:hAnsi="宋体" w:cs="宋体"/>
                <w:color w:val="auto"/>
                <w:kern w:val="0"/>
                <w:sz w:val="18"/>
                <w:szCs w:val="18"/>
              </w:rPr>
            </w:pPr>
          </w:p>
        </w:tc>
        <w:tc>
          <w:tcPr>
            <w:tcW w:w="1369" w:type="dxa"/>
            <w:noWrap w:val="0"/>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资产总额(Z)</w:t>
            </w:r>
          </w:p>
        </w:tc>
        <w:tc>
          <w:tcPr>
            <w:tcW w:w="709"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5"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Z≥80000</w:t>
            </w:r>
          </w:p>
        </w:tc>
        <w:tc>
          <w:tcPr>
            <w:tcW w:w="1701"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5000≤Z＜80000</w:t>
            </w:r>
          </w:p>
        </w:tc>
        <w:tc>
          <w:tcPr>
            <w:tcW w:w="1426"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xml:space="preserve"> 300≤Z＜5000</w:t>
            </w:r>
          </w:p>
        </w:tc>
        <w:tc>
          <w:tcPr>
            <w:tcW w:w="992"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Z＜300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noWrap w:val="0"/>
            <w:vAlign w:val="center"/>
          </w:tcPr>
          <w:p>
            <w:pPr>
              <w:widowControl/>
              <w:spacing w:line="240" w:lineRule="exact"/>
              <w:jc w:val="left"/>
              <w:rPr>
                <w:rFonts w:ascii="宋体" w:hAnsi="宋体" w:cs="宋体"/>
                <w:color w:val="auto"/>
                <w:kern w:val="0"/>
                <w:sz w:val="18"/>
                <w:szCs w:val="18"/>
              </w:rPr>
            </w:pPr>
            <w:r>
              <w:rPr>
                <w:rFonts w:hint="eastAsia" w:ascii="宋体" w:hAnsi="宋体" w:cs="宋体"/>
                <w:color w:val="auto"/>
                <w:kern w:val="0"/>
                <w:sz w:val="18"/>
                <w:szCs w:val="18"/>
              </w:rPr>
              <w:t>批发业</w:t>
            </w:r>
          </w:p>
        </w:tc>
        <w:tc>
          <w:tcPr>
            <w:tcW w:w="1369"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709"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1125"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X≥200</w:t>
            </w:r>
          </w:p>
        </w:tc>
        <w:tc>
          <w:tcPr>
            <w:tcW w:w="1701"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20≤X＜200</w:t>
            </w:r>
          </w:p>
        </w:tc>
        <w:tc>
          <w:tcPr>
            <w:tcW w:w="1426"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xml:space="preserve"> 5≤X＜20</w:t>
            </w:r>
          </w:p>
        </w:tc>
        <w:tc>
          <w:tcPr>
            <w:tcW w:w="992"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noWrap w:val="0"/>
            <w:vAlign w:val="center"/>
          </w:tcPr>
          <w:p>
            <w:pPr>
              <w:widowControl/>
              <w:jc w:val="left"/>
              <w:rPr>
                <w:rFonts w:ascii="宋体" w:hAnsi="宋体" w:cs="宋体"/>
                <w:color w:val="auto"/>
                <w:kern w:val="0"/>
                <w:sz w:val="18"/>
                <w:szCs w:val="18"/>
              </w:rPr>
            </w:pPr>
          </w:p>
        </w:tc>
        <w:tc>
          <w:tcPr>
            <w:tcW w:w="1369" w:type="dxa"/>
            <w:noWrap w:val="0"/>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709"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5"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Y≥40000</w:t>
            </w:r>
          </w:p>
        </w:tc>
        <w:tc>
          <w:tcPr>
            <w:tcW w:w="1701"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5000≤Y＜40000</w:t>
            </w:r>
          </w:p>
        </w:tc>
        <w:tc>
          <w:tcPr>
            <w:tcW w:w="1426" w:type="dxa"/>
            <w:noWrap w:val="0"/>
            <w:vAlign w:val="center"/>
          </w:tcPr>
          <w:p>
            <w:pPr>
              <w:widowControl/>
              <w:ind w:left="-1" w:leftChars="-1" w:hanging="1"/>
              <w:jc w:val="center"/>
              <w:rPr>
                <w:rFonts w:ascii="宋体" w:hAnsi="宋体" w:cs="宋体"/>
                <w:color w:val="auto"/>
                <w:kern w:val="0"/>
                <w:sz w:val="18"/>
                <w:szCs w:val="18"/>
              </w:rPr>
            </w:pPr>
            <w:r>
              <w:rPr>
                <w:rFonts w:hint="eastAsia" w:ascii="宋体" w:hAnsi="宋体" w:cs="宋体"/>
                <w:color w:val="auto"/>
                <w:kern w:val="0"/>
                <w:sz w:val="18"/>
                <w:szCs w:val="18"/>
              </w:rPr>
              <w:t>1000≤Y＜5000</w:t>
            </w:r>
          </w:p>
        </w:tc>
        <w:tc>
          <w:tcPr>
            <w:tcW w:w="992"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noWrap w:val="0"/>
            <w:vAlign w:val="center"/>
          </w:tcPr>
          <w:p>
            <w:pPr>
              <w:widowControl/>
              <w:spacing w:line="240" w:lineRule="exact"/>
              <w:jc w:val="left"/>
              <w:rPr>
                <w:rFonts w:ascii="宋体" w:hAnsi="宋体" w:cs="宋体"/>
                <w:color w:val="auto"/>
                <w:kern w:val="0"/>
                <w:sz w:val="18"/>
                <w:szCs w:val="18"/>
              </w:rPr>
            </w:pPr>
            <w:r>
              <w:rPr>
                <w:rFonts w:hint="eastAsia" w:ascii="宋体" w:hAnsi="宋体" w:cs="宋体"/>
                <w:color w:val="auto"/>
                <w:kern w:val="0"/>
                <w:sz w:val="18"/>
                <w:szCs w:val="18"/>
              </w:rPr>
              <w:t>零售业</w:t>
            </w:r>
          </w:p>
        </w:tc>
        <w:tc>
          <w:tcPr>
            <w:tcW w:w="1369"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709"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1125"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X≥300</w:t>
            </w:r>
          </w:p>
        </w:tc>
        <w:tc>
          <w:tcPr>
            <w:tcW w:w="1701"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50≤X＜300</w:t>
            </w:r>
          </w:p>
        </w:tc>
        <w:tc>
          <w:tcPr>
            <w:tcW w:w="1426" w:type="dxa"/>
            <w:noWrap w:val="0"/>
            <w:vAlign w:val="center"/>
          </w:tcPr>
          <w:p>
            <w:pPr>
              <w:widowControl/>
              <w:ind w:left="-1" w:leftChars="-1" w:hanging="1"/>
              <w:jc w:val="center"/>
              <w:rPr>
                <w:rFonts w:ascii="宋体" w:hAnsi="宋体" w:cs="宋体"/>
                <w:color w:val="auto"/>
                <w:kern w:val="0"/>
                <w:sz w:val="18"/>
                <w:szCs w:val="18"/>
              </w:rPr>
            </w:pPr>
            <w:r>
              <w:rPr>
                <w:rFonts w:hint="eastAsia" w:ascii="宋体" w:hAnsi="宋体" w:cs="宋体"/>
                <w:color w:val="auto"/>
                <w:kern w:val="0"/>
                <w:sz w:val="18"/>
                <w:szCs w:val="18"/>
              </w:rPr>
              <w:t xml:space="preserve">10≤X＜50 </w:t>
            </w:r>
          </w:p>
        </w:tc>
        <w:tc>
          <w:tcPr>
            <w:tcW w:w="992"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noWrap w:val="0"/>
            <w:vAlign w:val="center"/>
          </w:tcPr>
          <w:p>
            <w:pPr>
              <w:widowControl/>
              <w:jc w:val="left"/>
              <w:rPr>
                <w:rFonts w:ascii="宋体" w:hAnsi="宋体" w:cs="宋体"/>
                <w:color w:val="auto"/>
                <w:kern w:val="0"/>
                <w:sz w:val="18"/>
                <w:szCs w:val="18"/>
              </w:rPr>
            </w:pPr>
          </w:p>
        </w:tc>
        <w:tc>
          <w:tcPr>
            <w:tcW w:w="1369" w:type="dxa"/>
            <w:noWrap w:val="0"/>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709"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5"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Y≥20000</w:t>
            </w:r>
          </w:p>
        </w:tc>
        <w:tc>
          <w:tcPr>
            <w:tcW w:w="1701"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xml:space="preserve"> 500≤Y＜20000</w:t>
            </w:r>
          </w:p>
        </w:tc>
        <w:tc>
          <w:tcPr>
            <w:tcW w:w="1426" w:type="dxa"/>
            <w:noWrap w:val="0"/>
            <w:vAlign w:val="center"/>
          </w:tcPr>
          <w:p>
            <w:pPr>
              <w:widowControl/>
              <w:ind w:left="-1" w:leftChars="-1" w:hanging="1"/>
              <w:jc w:val="center"/>
              <w:rPr>
                <w:rFonts w:ascii="宋体" w:hAnsi="宋体" w:cs="宋体"/>
                <w:color w:val="auto"/>
                <w:kern w:val="0"/>
                <w:sz w:val="18"/>
                <w:szCs w:val="18"/>
              </w:rPr>
            </w:pPr>
            <w:r>
              <w:rPr>
                <w:rFonts w:hint="eastAsia" w:ascii="宋体" w:hAnsi="宋体" w:cs="宋体"/>
                <w:color w:val="auto"/>
                <w:kern w:val="0"/>
                <w:sz w:val="18"/>
                <w:szCs w:val="18"/>
              </w:rPr>
              <w:t xml:space="preserve">100≤Y＜500 </w:t>
            </w:r>
          </w:p>
        </w:tc>
        <w:tc>
          <w:tcPr>
            <w:tcW w:w="992"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noWrap w:val="0"/>
            <w:vAlign w:val="center"/>
          </w:tcPr>
          <w:p>
            <w:pPr>
              <w:widowControl/>
              <w:spacing w:line="240" w:lineRule="exact"/>
              <w:jc w:val="left"/>
              <w:rPr>
                <w:rFonts w:ascii="宋体" w:hAnsi="宋体" w:cs="宋体"/>
                <w:color w:val="auto"/>
                <w:kern w:val="0"/>
                <w:sz w:val="18"/>
                <w:szCs w:val="18"/>
              </w:rPr>
            </w:pPr>
            <w:r>
              <w:rPr>
                <w:rFonts w:hint="eastAsia" w:ascii="宋体" w:hAnsi="宋体" w:cs="宋体"/>
                <w:color w:val="auto"/>
                <w:kern w:val="0"/>
                <w:sz w:val="18"/>
                <w:szCs w:val="18"/>
              </w:rPr>
              <w:t>交通运输业 *</w:t>
            </w:r>
          </w:p>
        </w:tc>
        <w:tc>
          <w:tcPr>
            <w:tcW w:w="1369"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709"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1125"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X≥1000</w:t>
            </w:r>
          </w:p>
        </w:tc>
        <w:tc>
          <w:tcPr>
            <w:tcW w:w="1701"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300≤X＜1000</w:t>
            </w:r>
          </w:p>
        </w:tc>
        <w:tc>
          <w:tcPr>
            <w:tcW w:w="1426"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xml:space="preserve"> 20≤X＜300</w:t>
            </w:r>
          </w:p>
        </w:tc>
        <w:tc>
          <w:tcPr>
            <w:tcW w:w="992"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noWrap w:val="0"/>
            <w:vAlign w:val="center"/>
          </w:tcPr>
          <w:p>
            <w:pPr>
              <w:widowControl/>
              <w:jc w:val="left"/>
              <w:rPr>
                <w:rFonts w:ascii="宋体" w:hAnsi="宋体" w:cs="宋体"/>
                <w:color w:val="auto"/>
                <w:kern w:val="0"/>
                <w:sz w:val="18"/>
                <w:szCs w:val="18"/>
              </w:rPr>
            </w:pPr>
          </w:p>
        </w:tc>
        <w:tc>
          <w:tcPr>
            <w:tcW w:w="1369" w:type="dxa"/>
            <w:noWrap w:val="0"/>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709"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5"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Y≥30000</w:t>
            </w:r>
          </w:p>
        </w:tc>
        <w:tc>
          <w:tcPr>
            <w:tcW w:w="1701"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3000≤Y＜30000</w:t>
            </w:r>
          </w:p>
        </w:tc>
        <w:tc>
          <w:tcPr>
            <w:tcW w:w="1426"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xml:space="preserve"> 200≤Y＜3000</w:t>
            </w:r>
          </w:p>
        </w:tc>
        <w:tc>
          <w:tcPr>
            <w:tcW w:w="992"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noWrap w:val="0"/>
            <w:vAlign w:val="center"/>
          </w:tcPr>
          <w:p>
            <w:pPr>
              <w:widowControl/>
              <w:spacing w:line="240" w:lineRule="exact"/>
              <w:jc w:val="left"/>
              <w:rPr>
                <w:rFonts w:ascii="宋体" w:hAnsi="宋体" w:cs="宋体"/>
                <w:color w:val="auto"/>
                <w:kern w:val="0"/>
                <w:sz w:val="18"/>
                <w:szCs w:val="18"/>
              </w:rPr>
            </w:pPr>
            <w:r>
              <w:rPr>
                <w:rFonts w:hint="eastAsia" w:ascii="宋体" w:hAnsi="宋体" w:cs="宋体"/>
                <w:color w:val="auto"/>
                <w:kern w:val="0"/>
                <w:sz w:val="18"/>
                <w:szCs w:val="18"/>
              </w:rPr>
              <w:t>仓储业*</w:t>
            </w:r>
          </w:p>
        </w:tc>
        <w:tc>
          <w:tcPr>
            <w:tcW w:w="1369"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709"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1125"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X≥200</w:t>
            </w:r>
          </w:p>
        </w:tc>
        <w:tc>
          <w:tcPr>
            <w:tcW w:w="1701" w:type="dxa"/>
            <w:noWrap w:val="0"/>
            <w:vAlign w:val="center"/>
          </w:tcPr>
          <w:p>
            <w:pPr>
              <w:widowControl/>
              <w:ind w:left="1" w:leftChars="-51" w:hanging="108" w:hangingChars="60"/>
              <w:jc w:val="center"/>
              <w:rPr>
                <w:rFonts w:ascii="宋体" w:hAnsi="宋体" w:cs="宋体"/>
                <w:color w:val="auto"/>
                <w:kern w:val="0"/>
                <w:sz w:val="18"/>
                <w:szCs w:val="18"/>
              </w:rPr>
            </w:pPr>
            <w:r>
              <w:rPr>
                <w:rFonts w:hint="eastAsia" w:ascii="宋体" w:hAnsi="宋体" w:cs="宋体"/>
                <w:color w:val="auto"/>
                <w:kern w:val="0"/>
                <w:sz w:val="18"/>
                <w:szCs w:val="18"/>
              </w:rPr>
              <w:t>100≤X＜200</w:t>
            </w:r>
          </w:p>
        </w:tc>
        <w:tc>
          <w:tcPr>
            <w:tcW w:w="1426"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xml:space="preserve"> 20≤X＜100</w:t>
            </w:r>
          </w:p>
        </w:tc>
        <w:tc>
          <w:tcPr>
            <w:tcW w:w="992"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noWrap w:val="0"/>
            <w:vAlign w:val="center"/>
          </w:tcPr>
          <w:p>
            <w:pPr>
              <w:widowControl/>
              <w:jc w:val="left"/>
              <w:rPr>
                <w:rFonts w:ascii="宋体" w:hAnsi="宋体" w:cs="宋体"/>
                <w:color w:val="auto"/>
                <w:kern w:val="0"/>
                <w:sz w:val="18"/>
                <w:szCs w:val="18"/>
              </w:rPr>
            </w:pPr>
          </w:p>
        </w:tc>
        <w:tc>
          <w:tcPr>
            <w:tcW w:w="1369" w:type="dxa"/>
            <w:noWrap w:val="0"/>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709"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5"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Y≥30000</w:t>
            </w:r>
          </w:p>
        </w:tc>
        <w:tc>
          <w:tcPr>
            <w:tcW w:w="1701"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1000≤Y＜30000</w:t>
            </w:r>
          </w:p>
        </w:tc>
        <w:tc>
          <w:tcPr>
            <w:tcW w:w="1426"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xml:space="preserve"> 100≤Y＜1000</w:t>
            </w:r>
          </w:p>
        </w:tc>
        <w:tc>
          <w:tcPr>
            <w:tcW w:w="992"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noWrap w:val="0"/>
            <w:vAlign w:val="center"/>
          </w:tcPr>
          <w:p>
            <w:pPr>
              <w:widowControl/>
              <w:spacing w:line="240" w:lineRule="exact"/>
              <w:jc w:val="left"/>
              <w:rPr>
                <w:rFonts w:ascii="宋体" w:hAnsi="宋体" w:cs="宋体"/>
                <w:color w:val="auto"/>
                <w:kern w:val="0"/>
                <w:sz w:val="18"/>
                <w:szCs w:val="18"/>
              </w:rPr>
            </w:pPr>
            <w:r>
              <w:rPr>
                <w:rFonts w:hint="eastAsia" w:ascii="宋体" w:hAnsi="宋体" w:cs="宋体"/>
                <w:color w:val="auto"/>
                <w:kern w:val="0"/>
                <w:sz w:val="18"/>
                <w:szCs w:val="18"/>
              </w:rPr>
              <w:t>邮政业</w:t>
            </w:r>
          </w:p>
        </w:tc>
        <w:tc>
          <w:tcPr>
            <w:tcW w:w="1369"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709"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1125"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X≥1000</w:t>
            </w:r>
          </w:p>
        </w:tc>
        <w:tc>
          <w:tcPr>
            <w:tcW w:w="1701"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300≤X＜1000</w:t>
            </w:r>
          </w:p>
        </w:tc>
        <w:tc>
          <w:tcPr>
            <w:tcW w:w="1426"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xml:space="preserve"> 20≤X＜300</w:t>
            </w:r>
          </w:p>
        </w:tc>
        <w:tc>
          <w:tcPr>
            <w:tcW w:w="992"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noWrap w:val="0"/>
            <w:vAlign w:val="center"/>
          </w:tcPr>
          <w:p>
            <w:pPr>
              <w:widowControl/>
              <w:jc w:val="left"/>
              <w:rPr>
                <w:rFonts w:ascii="宋体" w:hAnsi="宋体" w:cs="宋体"/>
                <w:color w:val="auto"/>
                <w:kern w:val="0"/>
                <w:sz w:val="18"/>
                <w:szCs w:val="18"/>
              </w:rPr>
            </w:pPr>
          </w:p>
        </w:tc>
        <w:tc>
          <w:tcPr>
            <w:tcW w:w="1369" w:type="dxa"/>
            <w:noWrap w:val="0"/>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709"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5"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Y≥30000</w:t>
            </w:r>
          </w:p>
        </w:tc>
        <w:tc>
          <w:tcPr>
            <w:tcW w:w="1701"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2000≤Y＜30000</w:t>
            </w:r>
          </w:p>
        </w:tc>
        <w:tc>
          <w:tcPr>
            <w:tcW w:w="1426"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xml:space="preserve"> 100≤Y＜2000</w:t>
            </w:r>
          </w:p>
        </w:tc>
        <w:tc>
          <w:tcPr>
            <w:tcW w:w="992"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noWrap w:val="0"/>
            <w:vAlign w:val="center"/>
          </w:tcPr>
          <w:p>
            <w:pPr>
              <w:widowControl/>
              <w:spacing w:line="240" w:lineRule="exact"/>
              <w:jc w:val="left"/>
              <w:rPr>
                <w:rFonts w:ascii="宋体" w:hAnsi="宋体" w:cs="宋体"/>
                <w:color w:val="auto"/>
                <w:kern w:val="0"/>
                <w:sz w:val="18"/>
                <w:szCs w:val="18"/>
              </w:rPr>
            </w:pPr>
            <w:r>
              <w:rPr>
                <w:rFonts w:hint="eastAsia" w:ascii="宋体" w:hAnsi="宋体" w:cs="宋体"/>
                <w:color w:val="auto"/>
                <w:kern w:val="0"/>
                <w:sz w:val="18"/>
                <w:szCs w:val="18"/>
              </w:rPr>
              <w:t>住宿业</w:t>
            </w:r>
          </w:p>
        </w:tc>
        <w:tc>
          <w:tcPr>
            <w:tcW w:w="1369"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709"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1125"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X≥300</w:t>
            </w:r>
          </w:p>
        </w:tc>
        <w:tc>
          <w:tcPr>
            <w:tcW w:w="1701" w:type="dxa"/>
            <w:noWrap w:val="0"/>
            <w:vAlign w:val="center"/>
          </w:tcPr>
          <w:p>
            <w:pPr>
              <w:widowControl/>
              <w:ind w:left="1" w:leftChars="-51" w:hanging="108" w:hangingChars="60"/>
              <w:jc w:val="center"/>
              <w:rPr>
                <w:rFonts w:ascii="宋体" w:hAnsi="宋体" w:cs="宋体"/>
                <w:color w:val="auto"/>
                <w:kern w:val="0"/>
                <w:sz w:val="18"/>
                <w:szCs w:val="18"/>
              </w:rPr>
            </w:pPr>
            <w:r>
              <w:rPr>
                <w:rFonts w:hint="eastAsia" w:ascii="宋体" w:hAnsi="宋体" w:cs="宋体"/>
                <w:color w:val="auto"/>
                <w:kern w:val="0"/>
                <w:sz w:val="18"/>
                <w:szCs w:val="18"/>
              </w:rPr>
              <w:t xml:space="preserve">100≤X＜300 </w:t>
            </w:r>
          </w:p>
        </w:tc>
        <w:tc>
          <w:tcPr>
            <w:tcW w:w="1426"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xml:space="preserve"> 10≤X＜100</w:t>
            </w:r>
          </w:p>
        </w:tc>
        <w:tc>
          <w:tcPr>
            <w:tcW w:w="992"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noWrap w:val="0"/>
            <w:vAlign w:val="center"/>
          </w:tcPr>
          <w:p>
            <w:pPr>
              <w:widowControl/>
              <w:jc w:val="left"/>
              <w:rPr>
                <w:rFonts w:ascii="宋体" w:hAnsi="宋体" w:cs="宋体"/>
                <w:color w:val="auto"/>
                <w:kern w:val="0"/>
                <w:sz w:val="18"/>
                <w:szCs w:val="18"/>
              </w:rPr>
            </w:pPr>
          </w:p>
        </w:tc>
        <w:tc>
          <w:tcPr>
            <w:tcW w:w="1369" w:type="dxa"/>
            <w:noWrap w:val="0"/>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709"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5"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Y≥10000</w:t>
            </w:r>
          </w:p>
        </w:tc>
        <w:tc>
          <w:tcPr>
            <w:tcW w:w="1701"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2000≤Y＜10000</w:t>
            </w:r>
          </w:p>
        </w:tc>
        <w:tc>
          <w:tcPr>
            <w:tcW w:w="1426"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xml:space="preserve"> 100≤Y＜2000</w:t>
            </w:r>
          </w:p>
        </w:tc>
        <w:tc>
          <w:tcPr>
            <w:tcW w:w="992"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noWrap w:val="0"/>
            <w:vAlign w:val="center"/>
          </w:tcPr>
          <w:p>
            <w:pPr>
              <w:widowControl/>
              <w:spacing w:line="240" w:lineRule="exact"/>
              <w:jc w:val="left"/>
              <w:rPr>
                <w:rFonts w:ascii="宋体" w:hAnsi="宋体" w:cs="宋体"/>
                <w:color w:val="auto"/>
                <w:kern w:val="0"/>
                <w:sz w:val="18"/>
                <w:szCs w:val="18"/>
              </w:rPr>
            </w:pPr>
            <w:r>
              <w:rPr>
                <w:rFonts w:hint="eastAsia" w:ascii="宋体" w:hAnsi="宋体" w:cs="宋体"/>
                <w:color w:val="auto"/>
                <w:kern w:val="0"/>
                <w:sz w:val="18"/>
                <w:szCs w:val="18"/>
              </w:rPr>
              <w:t>餐饮业</w:t>
            </w:r>
          </w:p>
        </w:tc>
        <w:tc>
          <w:tcPr>
            <w:tcW w:w="1369"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709"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1125"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X≥300</w:t>
            </w:r>
          </w:p>
        </w:tc>
        <w:tc>
          <w:tcPr>
            <w:tcW w:w="1701" w:type="dxa"/>
            <w:noWrap w:val="0"/>
            <w:vAlign w:val="center"/>
          </w:tcPr>
          <w:p>
            <w:pPr>
              <w:widowControl/>
              <w:ind w:left="1" w:leftChars="-51" w:hanging="108" w:hangingChars="60"/>
              <w:jc w:val="center"/>
              <w:rPr>
                <w:rFonts w:ascii="宋体" w:hAnsi="宋体" w:cs="宋体"/>
                <w:color w:val="auto"/>
                <w:kern w:val="0"/>
                <w:sz w:val="18"/>
                <w:szCs w:val="18"/>
              </w:rPr>
            </w:pPr>
            <w:r>
              <w:rPr>
                <w:rFonts w:hint="eastAsia" w:ascii="宋体" w:hAnsi="宋体" w:cs="宋体"/>
                <w:color w:val="auto"/>
                <w:kern w:val="0"/>
                <w:sz w:val="18"/>
                <w:szCs w:val="18"/>
              </w:rPr>
              <w:t xml:space="preserve">100≤X＜300 </w:t>
            </w:r>
          </w:p>
        </w:tc>
        <w:tc>
          <w:tcPr>
            <w:tcW w:w="1426"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xml:space="preserve"> 10≤X＜100</w:t>
            </w:r>
          </w:p>
        </w:tc>
        <w:tc>
          <w:tcPr>
            <w:tcW w:w="992"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noWrap w:val="0"/>
            <w:vAlign w:val="center"/>
          </w:tcPr>
          <w:p>
            <w:pPr>
              <w:widowControl/>
              <w:jc w:val="left"/>
              <w:rPr>
                <w:rFonts w:ascii="宋体" w:hAnsi="宋体" w:cs="宋体"/>
                <w:color w:val="auto"/>
                <w:kern w:val="0"/>
                <w:sz w:val="18"/>
                <w:szCs w:val="18"/>
              </w:rPr>
            </w:pPr>
          </w:p>
        </w:tc>
        <w:tc>
          <w:tcPr>
            <w:tcW w:w="1369" w:type="dxa"/>
            <w:noWrap w:val="0"/>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709"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5"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Y≥10000</w:t>
            </w:r>
          </w:p>
        </w:tc>
        <w:tc>
          <w:tcPr>
            <w:tcW w:w="1701"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2000≤Y＜10000</w:t>
            </w:r>
          </w:p>
        </w:tc>
        <w:tc>
          <w:tcPr>
            <w:tcW w:w="1426"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xml:space="preserve"> 100≤Y＜2000</w:t>
            </w:r>
          </w:p>
        </w:tc>
        <w:tc>
          <w:tcPr>
            <w:tcW w:w="992"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noWrap w:val="0"/>
            <w:vAlign w:val="center"/>
          </w:tcPr>
          <w:p>
            <w:pPr>
              <w:widowControl/>
              <w:spacing w:line="240" w:lineRule="exact"/>
              <w:jc w:val="left"/>
              <w:rPr>
                <w:rFonts w:ascii="宋体" w:hAnsi="宋体" w:cs="宋体"/>
                <w:color w:val="auto"/>
                <w:kern w:val="0"/>
                <w:sz w:val="18"/>
                <w:szCs w:val="18"/>
              </w:rPr>
            </w:pPr>
            <w:r>
              <w:rPr>
                <w:rFonts w:hint="eastAsia" w:ascii="宋体" w:hAnsi="宋体" w:cs="宋体"/>
                <w:color w:val="auto"/>
                <w:kern w:val="0"/>
                <w:sz w:val="18"/>
                <w:szCs w:val="18"/>
              </w:rPr>
              <w:t>信息传输业 *</w:t>
            </w:r>
          </w:p>
        </w:tc>
        <w:tc>
          <w:tcPr>
            <w:tcW w:w="1369"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709"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1125"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X≥2000</w:t>
            </w:r>
          </w:p>
        </w:tc>
        <w:tc>
          <w:tcPr>
            <w:tcW w:w="1701"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100≤X＜2000</w:t>
            </w:r>
          </w:p>
        </w:tc>
        <w:tc>
          <w:tcPr>
            <w:tcW w:w="1426"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xml:space="preserve"> 10≤X＜100</w:t>
            </w:r>
          </w:p>
        </w:tc>
        <w:tc>
          <w:tcPr>
            <w:tcW w:w="992"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noWrap w:val="0"/>
            <w:vAlign w:val="center"/>
          </w:tcPr>
          <w:p>
            <w:pPr>
              <w:widowControl/>
              <w:jc w:val="left"/>
              <w:rPr>
                <w:rFonts w:ascii="宋体" w:hAnsi="宋体" w:cs="宋体"/>
                <w:color w:val="auto"/>
                <w:kern w:val="0"/>
                <w:sz w:val="18"/>
                <w:szCs w:val="18"/>
              </w:rPr>
            </w:pPr>
          </w:p>
        </w:tc>
        <w:tc>
          <w:tcPr>
            <w:tcW w:w="1369" w:type="dxa"/>
            <w:noWrap w:val="0"/>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709"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5"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Y≥100000</w:t>
            </w:r>
          </w:p>
        </w:tc>
        <w:tc>
          <w:tcPr>
            <w:tcW w:w="1701"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xml:space="preserve"> 1000≤Y＜100000</w:t>
            </w:r>
          </w:p>
        </w:tc>
        <w:tc>
          <w:tcPr>
            <w:tcW w:w="1426"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xml:space="preserve"> 100≤Y＜1000</w:t>
            </w:r>
          </w:p>
        </w:tc>
        <w:tc>
          <w:tcPr>
            <w:tcW w:w="992"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13" w:type="dxa"/>
            <w:vMerge w:val="restart"/>
            <w:noWrap w:val="0"/>
            <w:vAlign w:val="center"/>
          </w:tcPr>
          <w:p>
            <w:pPr>
              <w:widowControl/>
              <w:spacing w:line="240" w:lineRule="exact"/>
              <w:jc w:val="left"/>
              <w:rPr>
                <w:rFonts w:ascii="宋体" w:hAnsi="宋体" w:cs="宋体"/>
                <w:color w:val="auto"/>
                <w:spacing w:val="-12"/>
                <w:kern w:val="0"/>
                <w:sz w:val="18"/>
                <w:szCs w:val="18"/>
              </w:rPr>
            </w:pPr>
            <w:r>
              <w:rPr>
                <w:rFonts w:hint="eastAsia" w:ascii="宋体" w:hAnsi="宋体" w:cs="宋体"/>
                <w:color w:val="auto"/>
                <w:spacing w:val="-12"/>
                <w:kern w:val="0"/>
                <w:sz w:val="18"/>
                <w:szCs w:val="18"/>
              </w:rPr>
              <w:t>软件和信息技术服</w:t>
            </w:r>
            <w:r>
              <w:rPr>
                <w:rFonts w:hint="eastAsia" w:ascii="宋体" w:hAnsi="宋体" w:cs="宋体"/>
                <w:color w:val="auto"/>
                <w:kern w:val="0"/>
                <w:sz w:val="18"/>
                <w:szCs w:val="18"/>
              </w:rPr>
              <w:t>务业</w:t>
            </w:r>
          </w:p>
        </w:tc>
        <w:tc>
          <w:tcPr>
            <w:tcW w:w="1369"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709"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1125"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X≥300</w:t>
            </w:r>
          </w:p>
        </w:tc>
        <w:tc>
          <w:tcPr>
            <w:tcW w:w="1701" w:type="dxa"/>
            <w:noWrap w:val="0"/>
            <w:vAlign w:val="center"/>
          </w:tcPr>
          <w:p>
            <w:pPr>
              <w:widowControl/>
              <w:ind w:left="1" w:leftChars="-51" w:hanging="108" w:hangingChars="60"/>
              <w:jc w:val="center"/>
              <w:rPr>
                <w:rFonts w:ascii="宋体" w:hAnsi="宋体" w:cs="宋体"/>
                <w:color w:val="auto"/>
                <w:kern w:val="0"/>
                <w:sz w:val="18"/>
                <w:szCs w:val="18"/>
              </w:rPr>
            </w:pPr>
            <w:r>
              <w:rPr>
                <w:rFonts w:hint="eastAsia" w:ascii="宋体" w:hAnsi="宋体" w:cs="宋体"/>
                <w:color w:val="auto"/>
                <w:kern w:val="0"/>
                <w:sz w:val="18"/>
                <w:szCs w:val="18"/>
              </w:rPr>
              <w:t xml:space="preserve">100≤X＜300 </w:t>
            </w:r>
          </w:p>
        </w:tc>
        <w:tc>
          <w:tcPr>
            <w:tcW w:w="1426"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xml:space="preserve"> 10≤X＜100</w:t>
            </w:r>
          </w:p>
        </w:tc>
        <w:tc>
          <w:tcPr>
            <w:tcW w:w="992"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13" w:type="dxa"/>
            <w:vMerge w:val="continue"/>
            <w:noWrap w:val="0"/>
            <w:vAlign w:val="center"/>
          </w:tcPr>
          <w:p>
            <w:pPr>
              <w:widowControl/>
              <w:jc w:val="left"/>
              <w:rPr>
                <w:rFonts w:ascii="宋体" w:hAnsi="宋体" w:cs="宋体"/>
                <w:color w:val="auto"/>
                <w:spacing w:val="-12"/>
                <w:kern w:val="0"/>
                <w:sz w:val="18"/>
                <w:szCs w:val="18"/>
              </w:rPr>
            </w:pPr>
          </w:p>
        </w:tc>
        <w:tc>
          <w:tcPr>
            <w:tcW w:w="1369"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709"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5"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Y≥10000</w:t>
            </w:r>
          </w:p>
        </w:tc>
        <w:tc>
          <w:tcPr>
            <w:tcW w:w="1701"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1000≤Y＜10000</w:t>
            </w:r>
          </w:p>
        </w:tc>
        <w:tc>
          <w:tcPr>
            <w:tcW w:w="1426"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xml:space="preserve">  50≤Y＜1000</w:t>
            </w:r>
          </w:p>
        </w:tc>
        <w:tc>
          <w:tcPr>
            <w:tcW w:w="992"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13" w:type="dxa"/>
            <w:vMerge w:val="restart"/>
            <w:noWrap w:val="0"/>
            <w:vAlign w:val="center"/>
          </w:tcPr>
          <w:p>
            <w:pPr>
              <w:widowControl/>
              <w:spacing w:line="240" w:lineRule="exact"/>
              <w:jc w:val="left"/>
              <w:rPr>
                <w:rFonts w:ascii="宋体" w:hAnsi="宋体" w:cs="宋体"/>
                <w:color w:val="auto"/>
                <w:kern w:val="0"/>
                <w:sz w:val="18"/>
                <w:szCs w:val="18"/>
              </w:rPr>
            </w:pPr>
            <w:r>
              <w:rPr>
                <w:rFonts w:hint="eastAsia" w:ascii="宋体" w:hAnsi="宋体" w:cs="宋体"/>
                <w:color w:val="auto"/>
                <w:kern w:val="0"/>
                <w:sz w:val="18"/>
                <w:szCs w:val="18"/>
              </w:rPr>
              <w:t>房地产开发经营</w:t>
            </w:r>
          </w:p>
        </w:tc>
        <w:tc>
          <w:tcPr>
            <w:tcW w:w="1369"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709"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5"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Y≥200000</w:t>
            </w:r>
          </w:p>
        </w:tc>
        <w:tc>
          <w:tcPr>
            <w:tcW w:w="1701"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xml:space="preserve"> 1000≤Y＜200000</w:t>
            </w:r>
          </w:p>
        </w:tc>
        <w:tc>
          <w:tcPr>
            <w:tcW w:w="1426"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xml:space="preserve"> 100≤Y＜1000</w:t>
            </w:r>
          </w:p>
        </w:tc>
        <w:tc>
          <w:tcPr>
            <w:tcW w:w="992"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13" w:type="dxa"/>
            <w:vMerge w:val="continue"/>
            <w:noWrap w:val="0"/>
            <w:vAlign w:val="center"/>
          </w:tcPr>
          <w:p>
            <w:pPr>
              <w:widowControl/>
              <w:jc w:val="left"/>
              <w:rPr>
                <w:rFonts w:ascii="宋体" w:hAnsi="宋体" w:cs="宋体"/>
                <w:color w:val="auto"/>
                <w:kern w:val="0"/>
                <w:sz w:val="18"/>
                <w:szCs w:val="18"/>
              </w:rPr>
            </w:pPr>
          </w:p>
        </w:tc>
        <w:tc>
          <w:tcPr>
            <w:tcW w:w="1369" w:type="dxa"/>
            <w:noWrap w:val="0"/>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资产总额(Z)</w:t>
            </w:r>
          </w:p>
        </w:tc>
        <w:tc>
          <w:tcPr>
            <w:tcW w:w="709"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5"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Z≥10000</w:t>
            </w:r>
          </w:p>
        </w:tc>
        <w:tc>
          <w:tcPr>
            <w:tcW w:w="1701"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5000≤Z＜10000</w:t>
            </w:r>
          </w:p>
        </w:tc>
        <w:tc>
          <w:tcPr>
            <w:tcW w:w="1426"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xml:space="preserve">2000≤Z＜5000   </w:t>
            </w:r>
          </w:p>
        </w:tc>
        <w:tc>
          <w:tcPr>
            <w:tcW w:w="992"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Z＜2000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13" w:type="dxa"/>
            <w:vMerge w:val="restart"/>
            <w:noWrap w:val="0"/>
            <w:vAlign w:val="center"/>
          </w:tcPr>
          <w:p>
            <w:pPr>
              <w:widowControl/>
              <w:spacing w:line="240" w:lineRule="exact"/>
              <w:jc w:val="left"/>
              <w:rPr>
                <w:rFonts w:ascii="宋体" w:hAnsi="宋体" w:cs="宋体"/>
                <w:color w:val="auto"/>
                <w:kern w:val="0"/>
                <w:sz w:val="18"/>
                <w:szCs w:val="18"/>
              </w:rPr>
            </w:pPr>
            <w:r>
              <w:rPr>
                <w:rFonts w:hint="eastAsia" w:ascii="宋体" w:hAnsi="宋体" w:cs="宋体"/>
                <w:color w:val="auto"/>
                <w:kern w:val="0"/>
                <w:sz w:val="18"/>
                <w:szCs w:val="18"/>
              </w:rPr>
              <w:t>物业管理</w:t>
            </w:r>
          </w:p>
        </w:tc>
        <w:tc>
          <w:tcPr>
            <w:tcW w:w="1369"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709"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1125"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X≥1000</w:t>
            </w:r>
          </w:p>
        </w:tc>
        <w:tc>
          <w:tcPr>
            <w:tcW w:w="1701"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300≤X＜1000</w:t>
            </w:r>
          </w:p>
        </w:tc>
        <w:tc>
          <w:tcPr>
            <w:tcW w:w="1426"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xml:space="preserve">100≤X＜300 </w:t>
            </w:r>
          </w:p>
        </w:tc>
        <w:tc>
          <w:tcPr>
            <w:tcW w:w="992"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13" w:type="dxa"/>
            <w:vMerge w:val="continue"/>
            <w:noWrap w:val="0"/>
            <w:vAlign w:val="center"/>
          </w:tcPr>
          <w:p>
            <w:pPr>
              <w:widowControl/>
              <w:jc w:val="left"/>
              <w:rPr>
                <w:rFonts w:ascii="宋体" w:hAnsi="宋体" w:cs="宋体"/>
                <w:color w:val="auto"/>
                <w:kern w:val="0"/>
                <w:sz w:val="18"/>
                <w:szCs w:val="18"/>
              </w:rPr>
            </w:pPr>
          </w:p>
        </w:tc>
        <w:tc>
          <w:tcPr>
            <w:tcW w:w="1369" w:type="dxa"/>
            <w:noWrap w:val="0"/>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709"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5"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Y≥5000</w:t>
            </w:r>
          </w:p>
        </w:tc>
        <w:tc>
          <w:tcPr>
            <w:tcW w:w="1701" w:type="dxa"/>
            <w:noWrap w:val="0"/>
            <w:vAlign w:val="center"/>
          </w:tcPr>
          <w:p>
            <w:pPr>
              <w:widowControl/>
              <w:ind w:left="1" w:leftChars="-51" w:hanging="108" w:hangingChars="60"/>
              <w:jc w:val="center"/>
              <w:rPr>
                <w:rFonts w:ascii="宋体" w:hAnsi="宋体" w:cs="宋体"/>
                <w:color w:val="auto"/>
                <w:kern w:val="0"/>
                <w:sz w:val="18"/>
                <w:szCs w:val="18"/>
              </w:rPr>
            </w:pPr>
            <w:r>
              <w:rPr>
                <w:rFonts w:hint="eastAsia" w:ascii="宋体" w:hAnsi="宋体" w:cs="宋体"/>
                <w:color w:val="auto"/>
                <w:kern w:val="0"/>
                <w:sz w:val="18"/>
                <w:szCs w:val="18"/>
              </w:rPr>
              <w:t xml:space="preserve">1000≤Y＜5000 </w:t>
            </w:r>
          </w:p>
        </w:tc>
        <w:tc>
          <w:tcPr>
            <w:tcW w:w="1426"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xml:space="preserve"> 500≤Y＜1000</w:t>
            </w:r>
          </w:p>
        </w:tc>
        <w:tc>
          <w:tcPr>
            <w:tcW w:w="992"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13" w:type="dxa"/>
            <w:vMerge w:val="restart"/>
            <w:noWrap w:val="0"/>
            <w:vAlign w:val="center"/>
          </w:tcPr>
          <w:p>
            <w:pPr>
              <w:widowControl/>
              <w:spacing w:line="240" w:lineRule="exact"/>
              <w:jc w:val="left"/>
              <w:rPr>
                <w:rFonts w:ascii="宋体" w:hAnsi="宋体" w:cs="宋体"/>
                <w:color w:val="auto"/>
                <w:kern w:val="0"/>
                <w:sz w:val="18"/>
                <w:szCs w:val="18"/>
              </w:rPr>
            </w:pPr>
            <w:r>
              <w:rPr>
                <w:rFonts w:hint="eastAsia" w:ascii="宋体" w:hAnsi="宋体" w:cs="宋体"/>
                <w:color w:val="auto"/>
                <w:kern w:val="0"/>
                <w:sz w:val="18"/>
                <w:szCs w:val="18"/>
              </w:rPr>
              <w:t>租赁和商务服务业</w:t>
            </w:r>
          </w:p>
        </w:tc>
        <w:tc>
          <w:tcPr>
            <w:tcW w:w="1369"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709"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1125"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X≥300</w:t>
            </w:r>
          </w:p>
        </w:tc>
        <w:tc>
          <w:tcPr>
            <w:tcW w:w="1701" w:type="dxa"/>
            <w:noWrap w:val="0"/>
            <w:vAlign w:val="center"/>
          </w:tcPr>
          <w:p>
            <w:pPr>
              <w:widowControl/>
              <w:ind w:left="1" w:leftChars="-51" w:hanging="108" w:hangingChars="60"/>
              <w:jc w:val="center"/>
              <w:rPr>
                <w:rFonts w:ascii="宋体" w:hAnsi="宋体" w:cs="宋体"/>
                <w:color w:val="auto"/>
                <w:kern w:val="0"/>
                <w:sz w:val="18"/>
                <w:szCs w:val="18"/>
              </w:rPr>
            </w:pPr>
            <w:r>
              <w:rPr>
                <w:rFonts w:hint="eastAsia" w:ascii="宋体" w:hAnsi="宋体" w:cs="宋体"/>
                <w:color w:val="auto"/>
                <w:kern w:val="0"/>
                <w:sz w:val="18"/>
                <w:szCs w:val="18"/>
              </w:rPr>
              <w:t xml:space="preserve">100≤X＜300 </w:t>
            </w:r>
          </w:p>
        </w:tc>
        <w:tc>
          <w:tcPr>
            <w:tcW w:w="1426"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xml:space="preserve"> 10≤X＜100</w:t>
            </w:r>
          </w:p>
        </w:tc>
        <w:tc>
          <w:tcPr>
            <w:tcW w:w="992"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13" w:type="dxa"/>
            <w:vMerge w:val="continue"/>
            <w:noWrap w:val="0"/>
            <w:vAlign w:val="center"/>
          </w:tcPr>
          <w:p>
            <w:pPr>
              <w:widowControl/>
              <w:jc w:val="left"/>
              <w:rPr>
                <w:rFonts w:ascii="宋体" w:hAnsi="宋体" w:cs="宋体"/>
                <w:color w:val="auto"/>
                <w:kern w:val="0"/>
                <w:sz w:val="18"/>
                <w:szCs w:val="18"/>
              </w:rPr>
            </w:pPr>
          </w:p>
        </w:tc>
        <w:tc>
          <w:tcPr>
            <w:tcW w:w="1369" w:type="dxa"/>
            <w:noWrap w:val="0"/>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资产总额(Z)</w:t>
            </w:r>
          </w:p>
        </w:tc>
        <w:tc>
          <w:tcPr>
            <w:tcW w:w="709"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5"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Z≥120000</w:t>
            </w:r>
          </w:p>
        </w:tc>
        <w:tc>
          <w:tcPr>
            <w:tcW w:w="1701"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xml:space="preserve"> 8000≤Z＜120000</w:t>
            </w:r>
          </w:p>
        </w:tc>
        <w:tc>
          <w:tcPr>
            <w:tcW w:w="1426"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xml:space="preserve"> 100≤Z＜8000</w:t>
            </w:r>
          </w:p>
        </w:tc>
        <w:tc>
          <w:tcPr>
            <w:tcW w:w="992"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Z＜100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noWrap w:val="0"/>
            <w:vAlign w:val="center"/>
          </w:tcPr>
          <w:p>
            <w:pPr>
              <w:widowControl/>
              <w:spacing w:line="240" w:lineRule="exact"/>
              <w:jc w:val="left"/>
              <w:rPr>
                <w:rFonts w:ascii="宋体" w:hAnsi="宋体" w:cs="宋体"/>
                <w:color w:val="auto"/>
                <w:kern w:val="0"/>
                <w:sz w:val="18"/>
                <w:szCs w:val="18"/>
              </w:rPr>
            </w:pPr>
            <w:r>
              <w:rPr>
                <w:rFonts w:hint="eastAsia" w:ascii="宋体" w:hAnsi="宋体" w:cs="宋体"/>
                <w:color w:val="auto"/>
                <w:kern w:val="0"/>
                <w:sz w:val="18"/>
                <w:szCs w:val="18"/>
              </w:rPr>
              <w:t>其他未列明行业 *</w:t>
            </w:r>
          </w:p>
        </w:tc>
        <w:tc>
          <w:tcPr>
            <w:tcW w:w="1369"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709"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1125"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X≥300</w:t>
            </w:r>
          </w:p>
        </w:tc>
        <w:tc>
          <w:tcPr>
            <w:tcW w:w="1701" w:type="dxa"/>
            <w:noWrap w:val="0"/>
            <w:vAlign w:val="center"/>
          </w:tcPr>
          <w:p>
            <w:pPr>
              <w:widowControl/>
              <w:ind w:left="1" w:leftChars="-51" w:hanging="108" w:hangingChars="60"/>
              <w:jc w:val="center"/>
              <w:rPr>
                <w:rFonts w:ascii="宋体" w:hAnsi="宋体" w:cs="宋体"/>
                <w:color w:val="auto"/>
                <w:kern w:val="0"/>
                <w:sz w:val="18"/>
                <w:szCs w:val="18"/>
              </w:rPr>
            </w:pPr>
            <w:r>
              <w:rPr>
                <w:rFonts w:hint="eastAsia" w:ascii="宋体" w:hAnsi="宋体" w:cs="宋体"/>
                <w:color w:val="auto"/>
                <w:kern w:val="0"/>
                <w:sz w:val="18"/>
                <w:szCs w:val="18"/>
              </w:rPr>
              <w:t xml:space="preserve">100≤X＜300 </w:t>
            </w:r>
          </w:p>
        </w:tc>
        <w:tc>
          <w:tcPr>
            <w:tcW w:w="1426"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xml:space="preserve"> 10≤X＜100</w:t>
            </w:r>
          </w:p>
        </w:tc>
        <w:tc>
          <w:tcPr>
            <w:tcW w:w="992" w:type="dxa"/>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X＜10</w:t>
            </w:r>
          </w:p>
        </w:tc>
      </w:tr>
    </w:tbl>
    <w:p>
      <w:pPr>
        <w:widowControl/>
        <w:spacing w:line="540" w:lineRule="exact"/>
        <w:rPr>
          <w:rFonts w:ascii="仿宋_GB2312" w:hAnsi="宋体" w:eastAsia="仿宋_GB2312" w:cs="宋体"/>
          <w:color w:val="auto"/>
          <w:spacing w:val="8"/>
          <w:kern w:val="0"/>
          <w:sz w:val="32"/>
          <w:szCs w:val="32"/>
        </w:rPr>
      </w:pPr>
      <w:r>
        <w:rPr>
          <w:rFonts w:hint="eastAsia" w:ascii="仿宋_GB2312" w:hAnsi="Times New Roman" w:eastAsia="仿宋_GB2312" w:cs="宋体"/>
          <w:color w:val="auto"/>
          <w:spacing w:val="8"/>
          <w:kern w:val="0"/>
          <w:sz w:val="32"/>
          <w:szCs w:val="32"/>
        </w:rPr>
        <w:t>说明：</w:t>
      </w:r>
    </w:p>
    <w:p>
      <w:pPr>
        <w:spacing w:line="540" w:lineRule="exact"/>
        <w:rPr>
          <w:rFonts w:ascii="仿宋_GB2312" w:hAnsi="宋体" w:eastAsia="仿宋_GB2312" w:cs="宋体"/>
          <w:color w:val="auto"/>
          <w:spacing w:val="8"/>
          <w:kern w:val="0"/>
          <w:sz w:val="32"/>
          <w:szCs w:val="32"/>
        </w:rPr>
      </w:pPr>
      <w:r>
        <w:rPr>
          <w:rFonts w:hint="eastAsia" w:ascii="仿宋_GB2312" w:hAnsi="Times New Roman" w:eastAsia="仿宋_GB2312" w:cs="宋体"/>
          <w:color w:val="auto"/>
          <w:spacing w:val="8"/>
          <w:kern w:val="0"/>
          <w:sz w:val="32"/>
          <w:szCs w:val="32"/>
        </w:rPr>
        <w:t>　　</w:t>
      </w:r>
      <w:r>
        <w:rPr>
          <w:rFonts w:hint="eastAsia" w:ascii="仿宋_GB2312" w:hAnsi="Times New Roman" w:eastAsia="仿宋_GB2312"/>
          <w:color w:val="auto"/>
          <w:spacing w:val="8"/>
          <w:kern w:val="0"/>
          <w:sz w:val="32"/>
          <w:szCs w:val="32"/>
        </w:rPr>
        <w:t>1.</w:t>
      </w:r>
      <w:r>
        <w:rPr>
          <w:rFonts w:hint="eastAsia" w:ascii="仿宋_GB2312" w:hAnsi="Times New Roman" w:eastAsia="仿宋_GB2312" w:cs="宋体"/>
          <w:color w:val="auto"/>
          <w:spacing w:val="8"/>
          <w:kern w:val="0"/>
          <w:sz w:val="32"/>
          <w:szCs w:val="32"/>
        </w:rPr>
        <w:t>大型、中型和小型企业须同时满足所列指标的下限，否则下划一档；微型企业只须满足所列指标中的一项即可。</w:t>
      </w:r>
    </w:p>
    <w:p>
      <w:pPr>
        <w:spacing w:line="540" w:lineRule="exact"/>
        <w:rPr>
          <w:rFonts w:ascii="仿宋_GB2312" w:hAnsi="宋体" w:eastAsia="仿宋_GB2312" w:cs="宋体"/>
          <w:color w:val="auto"/>
          <w:spacing w:val="8"/>
          <w:kern w:val="0"/>
          <w:sz w:val="32"/>
          <w:szCs w:val="32"/>
        </w:rPr>
      </w:pPr>
      <w:r>
        <w:rPr>
          <w:rFonts w:hint="eastAsia" w:ascii="仿宋_GB2312" w:hAnsi="Times New Roman" w:eastAsia="仿宋_GB2312" w:cs="宋体"/>
          <w:color w:val="auto"/>
          <w:spacing w:val="8"/>
          <w:kern w:val="0"/>
          <w:sz w:val="32"/>
          <w:szCs w:val="32"/>
        </w:rPr>
        <w:t>　　</w:t>
      </w:r>
      <w:r>
        <w:rPr>
          <w:rFonts w:hint="eastAsia" w:ascii="仿宋_GB2312" w:hAnsi="Times New Roman" w:eastAsia="仿宋_GB2312"/>
          <w:color w:val="auto"/>
          <w:spacing w:val="8"/>
          <w:kern w:val="0"/>
          <w:sz w:val="32"/>
          <w:szCs w:val="32"/>
        </w:rPr>
        <w:t>2.</w:t>
      </w:r>
      <w:r>
        <w:rPr>
          <w:rFonts w:hint="eastAsia" w:ascii="仿宋_GB2312" w:hAnsi="Times New Roman" w:eastAsia="仿宋_GB2312" w:cs="宋体"/>
          <w:color w:val="auto"/>
          <w:spacing w:val="8"/>
          <w:kern w:val="0"/>
          <w:sz w:val="32"/>
          <w:szCs w:val="32"/>
        </w:rPr>
        <w:t>附表中各行业的范围以《国民经济行业分类》（</w:t>
      </w:r>
      <w:r>
        <w:rPr>
          <w:rFonts w:hint="eastAsia" w:ascii="仿宋_GB2312" w:hAnsi="Times New Roman" w:eastAsia="仿宋_GB2312"/>
          <w:color w:val="auto"/>
          <w:spacing w:val="8"/>
          <w:kern w:val="0"/>
          <w:sz w:val="32"/>
          <w:szCs w:val="32"/>
        </w:rPr>
        <w:t>GB/T4754-2017</w:t>
      </w:r>
      <w:r>
        <w:rPr>
          <w:rFonts w:hint="eastAsia" w:ascii="仿宋_GB2312" w:hAnsi="Times New Roman" w:eastAsia="仿宋_GB2312" w:cs="宋体"/>
          <w:color w:val="auto"/>
          <w:spacing w:val="8"/>
          <w:kern w:val="0"/>
          <w:sz w:val="32"/>
          <w:szCs w:val="32"/>
        </w:rPr>
        <w:t>）为准。带</w:t>
      </w:r>
      <w:r>
        <w:rPr>
          <w:rFonts w:hint="eastAsia" w:ascii="仿宋_GB2312" w:hAnsi="Times New Roman" w:eastAsia="仿宋_GB2312"/>
          <w:color w:val="auto"/>
          <w:spacing w:val="8"/>
          <w:kern w:val="0"/>
          <w:sz w:val="32"/>
          <w:szCs w:val="32"/>
        </w:rPr>
        <w:t>*</w:t>
      </w:r>
      <w:r>
        <w:rPr>
          <w:rFonts w:hint="eastAsia" w:ascii="仿宋_GB2312" w:hAnsi="Times New Roman" w:eastAsia="仿宋_GB2312" w:cs="宋体"/>
          <w:color w:val="auto"/>
          <w:spacing w:val="8"/>
          <w:kern w:val="0"/>
          <w:sz w:val="32"/>
          <w:szCs w:val="32"/>
        </w:rPr>
        <w:t>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spacing w:line="540" w:lineRule="exact"/>
        <w:rPr>
          <w:color w:val="auto"/>
        </w:rPr>
      </w:pPr>
      <w:r>
        <w:rPr>
          <w:rFonts w:hint="eastAsia" w:ascii="仿宋_GB2312" w:hAnsi="Times New Roman" w:eastAsia="仿宋_GB2312" w:cs="宋体"/>
          <w:color w:val="auto"/>
          <w:spacing w:val="8"/>
          <w:kern w:val="0"/>
          <w:sz w:val="32"/>
          <w:szCs w:val="32"/>
        </w:rPr>
        <w:t>　　</w:t>
      </w:r>
      <w:r>
        <w:rPr>
          <w:rFonts w:hint="eastAsia" w:ascii="仿宋_GB2312" w:hAnsi="Times New Roman" w:eastAsia="仿宋_GB2312"/>
          <w:color w:val="auto"/>
          <w:spacing w:val="8"/>
          <w:kern w:val="0"/>
          <w:sz w:val="32"/>
          <w:szCs w:val="32"/>
        </w:rPr>
        <w:t>3.</w:t>
      </w:r>
      <w:r>
        <w:rPr>
          <w:rFonts w:hint="eastAsia" w:ascii="仿宋_GB2312" w:hAnsi="Times New Roman" w:eastAsia="仿宋_GB2312" w:cs="宋体"/>
          <w:color w:val="auto"/>
          <w:spacing w:val="8"/>
          <w:kern w:val="0"/>
          <w:sz w:val="32"/>
          <w:szCs w:val="32"/>
        </w:rPr>
        <w:t>企业划分指标以现行统计制度为准。（</w:t>
      </w:r>
      <w:r>
        <w:rPr>
          <w:rFonts w:hint="eastAsia" w:ascii="仿宋_GB2312" w:hAnsi="Times New Roman" w:eastAsia="仿宋_GB2312"/>
          <w:color w:val="auto"/>
          <w:spacing w:val="8"/>
          <w:kern w:val="0"/>
          <w:sz w:val="32"/>
          <w:szCs w:val="32"/>
        </w:rPr>
        <w:t>1</w:t>
      </w:r>
      <w:r>
        <w:rPr>
          <w:rFonts w:hint="eastAsia" w:ascii="仿宋_GB2312" w:hAnsi="Times New Roman" w:eastAsia="仿宋_GB2312" w:cs="宋体"/>
          <w:color w:val="auto"/>
          <w:spacing w:val="8"/>
          <w:kern w:val="0"/>
          <w:sz w:val="32"/>
          <w:szCs w:val="32"/>
        </w:rPr>
        <w:t>）从业人员，是指期末从业人员数，没有期末从业人员数的，采用全年平均人员数代替。（</w:t>
      </w:r>
      <w:r>
        <w:rPr>
          <w:rFonts w:hint="eastAsia" w:ascii="仿宋_GB2312" w:hAnsi="Times New Roman" w:eastAsia="仿宋_GB2312"/>
          <w:color w:val="auto"/>
          <w:spacing w:val="8"/>
          <w:kern w:val="0"/>
          <w:sz w:val="32"/>
          <w:szCs w:val="32"/>
        </w:rPr>
        <w:t>2</w:t>
      </w:r>
      <w:r>
        <w:rPr>
          <w:rFonts w:hint="eastAsia" w:ascii="仿宋_GB2312" w:hAnsi="Times New Roman" w:eastAsia="仿宋_GB2312" w:cs="宋体"/>
          <w:color w:val="auto"/>
          <w:spacing w:val="8"/>
          <w:kern w:val="0"/>
          <w:sz w:val="32"/>
          <w:szCs w:val="32"/>
        </w:rPr>
        <w:t>）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w:t>
      </w:r>
      <w:r>
        <w:rPr>
          <w:rFonts w:hint="eastAsia" w:ascii="仿宋_GB2312" w:hAnsi="Times New Roman" w:eastAsia="仿宋_GB2312"/>
          <w:color w:val="auto"/>
          <w:spacing w:val="8"/>
          <w:kern w:val="0"/>
          <w:sz w:val="32"/>
          <w:szCs w:val="32"/>
        </w:rPr>
        <w:t>3</w:t>
      </w:r>
      <w:r>
        <w:rPr>
          <w:rFonts w:hint="eastAsia" w:ascii="仿宋_GB2312" w:hAnsi="Times New Roman" w:eastAsia="仿宋_GB2312" w:cs="宋体"/>
          <w:color w:val="auto"/>
          <w:spacing w:val="8"/>
          <w:kern w:val="0"/>
          <w:sz w:val="32"/>
          <w:szCs w:val="32"/>
        </w:rPr>
        <w:t>）资产总额，采用资产总计代替。</w:t>
      </w:r>
    </w:p>
    <w:p/>
    <w:sectPr>
      <w:pgSz w:w="11906" w:h="16838"/>
      <w:pgMar w:top="1701" w:right="1531" w:bottom="1701"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8123A8"/>
    <w:rsid w:val="788123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2020-11-12T08:03:00Z</dcterms:created>
  <dc:creator>Administrator</dc:creator>
  <cp:lastModifiedBy>Administrator</cp:lastModifiedBy>
  <dcterms:modified xsi:type="dcterms:W3CDTF">2020-11-12T08:05:29Z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